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«Политология»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Психология массовых коммуникаций</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p>
            <w:pPr>
              <w:jc w:val="center"/>
              <w:spacing w:after="0" w:line="240" w:lineRule="auto"/>
              <w:rPr>
                <w:sz w:val="22"/>
                <w:szCs w:val="22"/>
              </w:rPr>
            </w:pPr>
            <w:r>
              <w:rPr>
                <w:rFonts w:ascii="Times New Roman" w:hAnsi="Times New Roman" w:cs="Times New Roman"/>
                <w:color w:val="#000000"/>
                <w:sz w:val="22"/>
                <w:szCs w:val="22"/>
              </w:rPr>
              <w:t> Статья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55.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pPr>
              <w:jc w:val="both"/>
              <w:spacing w:after="0" w:line="240" w:lineRule="auto"/>
              <w:rPr>
                <w:sz w:val="24"/>
                <w:szCs w:val="24"/>
              </w:rPr>
            </w:pPr>
            <w:r>
              <w:rPr>
                <w:rFonts w:ascii="Times New Roman" w:hAnsi="Times New Roman" w:cs="Times New Roman"/>
                <w:color w:val="#000000"/>
                <w:sz w:val="24"/>
                <w:szCs w:val="24"/>
              </w:rPr>
              <w:t> - государственно-центристская стадия (политика как сфера государственных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представлений о политике как области взаимодействия государства и гражданского общества (Новое время);</w:t>
            </w:r>
          </w:p>
          <w:p>
            <w:pPr>
              <w:jc w:val="both"/>
              <w:spacing w:after="0" w:line="240" w:lineRule="auto"/>
              <w:rPr>
                <w:sz w:val="24"/>
                <w:szCs w:val="24"/>
              </w:rPr>
            </w:pPr>
            <w:r>
              <w:rPr>
                <w:rFonts w:ascii="Times New Roman" w:hAnsi="Times New Roman" w:cs="Times New Roman"/>
                <w:color w:val="#000000"/>
                <w:sz w:val="24"/>
                <w:szCs w:val="24"/>
              </w:rPr>
              <w:t> -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новых подходов к политике как реакция на усиление роли негосударственных факторов в современной политике.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3296.4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pPr>
              <w:jc w:val="both"/>
              <w:spacing w:after="0" w:line="240" w:lineRule="auto"/>
              <w:rPr>
                <w:sz w:val="24"/>
                <w:szCs w:val="24"/>
              </w:rPr>
            </w:pPr>
            <w:r>
              <w:rPr>
                <w:rFonts w:ascii="Times New Roman" w:hAnsi="Times New Roman" w:cs="Times New Roman"/>
                <w:color w:val="#000000"/>
                <w:sz w:val="24"/>
                <w:szCs w:val="24"/>
              </w:rPr>
              <w:t> Власть и авторитет. Различные трактовки авторитета. Авторитет как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pPr>
              <w:jc w:val="both"/>
              <w:spacing w:after="0" w:line="240" w:lineRule="auto"/>
              <w:rPr>
                <w:sz w:val="24"/>
                <w:szCs w:val="24"/>
              </w:rPr>
            </w:pPr>
            <w:r>
              <w:rPr>
                <w:rFonts w:ascii="Times New Roman" w:hAnsi="Times New Roman" w:cs="Times New Roman"/>
                <w:color w:val="#000000"/>
                <w:sz w:val="24"/>
                <w:szCs w:val="24"/>
              </w:rPr>
              <w:t> 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pPr>
              <w:jc w:val="both"/>
              <w:spacing w:after="0" w:line="240" w:lineRule="auto"/>
              <w:rPr>
                <w:sz w:val="24"/>
                <w:szCs w:val="24"/>
              </w:rPr>
            </w:pPr>
            <w:r>
              <w:rPr>
                <w:rFonts w:ascii="Times New Roman" w:hAnsi="Times New Roman" w:cs="Times New Roman"/>
                <w:color w:val="#000000"/>
                <w:sz w:val="24"/>
                <w:szCs w:val="24"/>
              </w:rPr>
              <w:t> 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3025.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pPr>
              <w:jc w:val="both"/>
              <w:spacing w:after="0" w:line="240" w:lineRule="auto"/>
              <w:rPr>
                <w:sz w:val="24"/>
                <w:szCs w:val="24"/>
              </w:rPr>
            </w:pPr>
            <w:r>
              <w:rPr>
                <w:rFonts w:ascii="Times New Roman" w:hAnsi="Times New Roman" w:cs="Times New Roman"/>
                <w:color w:val="#000000"/>
                <w:sz w:val="24"/>
                <w:szCs w:val="24"/>
              </w:rPr>
              <w:t> 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813.3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pPr>
              <w:jc w:val="both"/>
              <w:spacing w:after="0" w:line="240" w:lineRule="auto"/>
              <w:rPr>
                <w:sz w:val="24"/>
                <w:szCs w:val="24"/>
              </w:rPr>
            </w:pPr>
            <w:r>
              <w:rPr>
                <w:rFonts w:ascii="Times New Roman" w:hAnsi="Times New Roman" w:cs="Times New Roman"/>
                <w:color w:val="#000000"/>
                <w:sz w:val="24"/>
                <w:szCs w:val="24"/>
              </w:rPr>
              <w:t> 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both"/>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1.31518"/>
        </w:trPr>
        <w:tc>
          <w:tcPr>
            <w:tcW w:w="9640" w:type="dxa"/>
          </w:tcPr>
          <w:p/>
        </w:tc>
      </w:tr>
      <w:tr>
        <w:trPr>
          <w:trHeight w:hRule="exact" w:val="946.97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left"/>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248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терроризм и его разновидности. Методы борьбы с терроризмом. Ненасилие и политика.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pPr>
              <w:jc w:val="left"/>
              <w:spacing w:after="0" w:line="240" w:lineRule="auto"/>
              <w:rPr>
                <w:sz w:val="24"/>
                <w:szCs w:val="24"/>
              </w:rPr>
            </w:pPr>
            <w:r>
              <w:rPr>
                <w:rFonts w:ascii="Times New Roman" w:hAnsi="Times New Roman" w:cs="Times New Roman"/>
                <w:color w:val="#000000"/>
                <w:sz w:val="24"/>
                <w:szCs w:val="24"/>
              </w:rPr>
              <w:t> 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47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pPr>
              <w:jc w:val="left"/>
              <w:spacing w:after="0" w:line="240" w:lineRule="auto"/>
              <w:rPr>
                <w:sz w:val="24"/>
                <w:szCs w:val="24"/>
              </w:rPr>
            </w:pPr>
            <w:r>
              <w:rPr>
                <w:rFonts w:ascii="Times New Roman" w:hAnsi="Times New Roman" w:cs="Times New Roman"/>
                <w:color w:val="#000000"/>
                <w:sz w:val="24"/>
                <w:szCs w:val="24"/>
              </w:rPr>
              <w:t> 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63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современном мире. Российская бюрократия и судьбы российской государственности.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pPr>
              <w:jc w:val="left"/>
              <w:spacing w:after="0" w:line="240" w:lineRule="auto"/>
              <w:rPr>
                <w:sz w:val="24"/>
                <w:szCs w:val="24"/>
              </w:rPr>
            </w:pPr>
            <w:r>
              <w:rPr>
                <w:rFonts w:ascii="Times New Roman" w:hAnsi="Times New Roman" w:cs="Times New Roman"/>
                <w:color w:val="#000000"/>
                <w:sz w:val="24"/>
                <w:szCs w:val="24"/>
              </w:rPr>
              <w:t> 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pPr>
              <w:jc w:val="left"/>
              <w:spacing w:after="0" w:line="240" w:lineRule="auto"/>
              <w:rPr>
                <w:sz w:val="24"/>
                <w:szCs w:val="24"/>
              </w:rPr>
            </w:pPr>
            <w:r>
              <w:rPr>
                <w:rFonts w:ascii="Times New Roman" w:hAnsi="Times New Roman" w:cs="Times New Roman"/>
                <w:color w:val="#000000"/>
                <w:sz w:val="24"/>
                <w:szCs w:val="24"/>
              </w:rPr>
              <w:t> 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3183.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pPr>
              <w:jc w:val="left"/>
              <w:spacing w:after="0" w:line="240" w:lineRule="auto"/>
              <w:rPr>
                <w:sz w:val="24"/>
                <w:szCs w:val="24"/>
              </w:rPr>
            </w:pPr>
            <w:r>
              <w:rPr>
                <w:rFonts w:ascii="Times New Roman" w:hAnsi="Times New Roman" w:cs="Times New Roman"/>
                <w:color w:val="#000000"/>
                <w:sz w:val="24"/>
                <w:szCs w:val="24"/>
              </w:rPr>
              <w:t> 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pPr>
              <w:jc w:val="left"/>
              <w:spacing w:after="0" w:line="240" w:lineRule="auto"/>
              <w:rPr>
                <w:sz w:val="24"/>
                <w:szCs w:val="24"/>
              </w:rPr>
            </w:pPr>
            <w:r>
              <w:rPr>
                <w:rFonts w:ascii="Times New Roman" w:hAnsi="Times New Roman" w:cs="Times New Roman"/>
                <w:color w:val="#000000"/>
                <w:sz w:val="24"/>
                <w:szCs w:val="24"/>
              </w:rPr>
              <w:t> 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left"/>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left"/>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3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2022-2023_ФГОС3++2022_Бак-ЗФО-Жур(22)_plx_Политология</dc:title>
  <dc:creator>FastReport.NET</dc:creator>
</cp:coreProperties>
</file>